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CB" w:rsidRDefault="00394ACB" w:rsidP="00394AC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  <w:r w:rsidRPr="009A0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>KP 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   La </w:t>
      </w:r>
      <w:r w:rsidRPr="001654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s-ES_tradnl"/>
        </w:rPr>
        <w:t>Gnórisma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  <w:t xml:space="preserve"> o señal de reconocimiento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En la kápsula anterior, la número 5, veíamos las diferencias entre la Ortodoxia y las tesis latinas acerca de la Procedencia del Espíritu Santo, si sólo del Padre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como se reza en el Credo original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del Padre y del Hijo, según el posterior añadido que hizo la Iglesia de Roma.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El monje Barlaam de Calabria no defendió la Ortodoxia, como le había encargado el emperadoro Andrónico III, sino que trató de dar razón a ambas partes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argument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ando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de lo absoluto nada era demostrable. 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Esto provocó la lógica reacción de aquel sector de la Iglesia que guardaba con mayor celo y rigor la enseñanza de la Fe, preocupados de que, por razones políticas, una parte de la Iglesia aceptara las tesis latinas.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tal motivo San Gregorio Palamás, en sus escritos, 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no rebate tanto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 la </w:t>
      </w:r>
      <w:r w:rsidRPr="00DD1C88">
        <w:rPr>
          <w:rFonts w:ascii="Times New Roman" w:eastAsia="Times New Roman" w:hAnsi="Times New Roman" w:cs="Times New Roman"/>
          <w:i/>
          <w:color w:val="000000"/>
          <w:lang w:eastAsia="es-ES_tradnl"/>
        </w:rPr>
        <w:t>teología latina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cuanto a la tendencia latinizante </w:t>
      </w: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se estaba incubando en el seno de la Iglesia Ortodoxa. </w:t>
      </w:r>
    </w:p>
    <w:p w:rsidR="00394ACB" w:rsidRPr="00DD1C88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Él daba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por descontado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que la Iglesia de Roma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había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apartado de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tradición, lo cual se tradujo </w:t>
      </w: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>en que</w:t>
      </w:r>
      <w:r w:rsidRPr="0085684B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el intento de reunificación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las dos Iglesias, realizado en el Concilio de Lyon en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Francia, en el añ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1274, </w:t>
      </w:r>
      <w:r w:rsidRPr="0085684B">
        <w:rPr>
          <w:rFonts w:ascii="Times New Roman" w:eastAsia="Times New Roman" w:hAnsi="Times New Roman" w:cs="Times New Roman"/>
          <w:b/>
          <w:color w:val="000000"/>
          <w:lang w:eastAsia="es-ES_tradnl"/>
        </w:rPr>
        <w:t>fracasara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al cabo de poco tiempo.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Pero l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o que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a San Gregorio Palamás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le preocupa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es que en la Iglesia Ortodoxa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-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motivos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políticos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ante la amenaza del turco otomano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- 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se vaya difundiendo nuevamente la tendencia de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llegar a acuerdos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Roma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c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ontra esa opción es que dirige su tenaz y fundamentada oposición.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Barlaam es considerado peligroso porque,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fingiéndose ortodoxo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tramaba alejar a la Iglesia de Oriente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de su tradición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diluyendo las bases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su Fe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, para así entrega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rla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brazos de la Iglesia latina.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Veamos de forma resumida las tesis de San Gregorio Palamás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, que son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las que siempre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fueron 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sostenidas por la Iglesia Ortodoxa: 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El Espíritu Santo procede sólo del Padre, como el Hijo es generado sólo del Padre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cuanto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sólo Éste, el Padre, </w:t>
      </w:r>
      <w:r w:rsidRPr="00073DA6">
        <w:rPr>
          <w:rFonts w:ascii="Times New Roman" w:eastAsia="Times New Roman" w:hAnsi="Times New Roman" w:cs="Times New Roman"/>
          <w:color w:val="000000"/>
          <w:lang w:eastAsia="es-ES_tradnl"/>
        </w:rPr>
        <w:t>posee la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073DA6">
        <w:rPr>
          <w:rFonts w:ascii="Times New Roman" w:eastAsia="Times New Roman" w:hAnsi="Times New Roman" w:cs="Times New Roman"/>
          <w:b/>
          <w:i/>
          <w:iCs/>
          <w:color w:val="000000"/>
          <w:lang w:eastAsia="es-ES_tradnl"/>
        </w:rPr>
        <w:t>gnórisma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, </w:t>
      </w:r>
      <w:r w:rsidRPr="00073DA6">
        <w:rPr>
          <w:rFonts w:ascii="Times New Roman" w:eastAsia="Times New Roman" w:hAnsi="Times New Roman" w:cs="Times New Roman"/>
          <w:color w:val="000000"/>
          <w:lang w:eastAsia="es-ES_tradnl"/>
        </w:rPr>
        <w:t>palabra que podemos traducir por la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</w:t>
      </w:r>
      <w:r w:rsidRPr="00DD1C8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señal de reconocimiento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es decir, la propiedad hipostática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de causar la </w:t>
      </w:r>
      <w:r w:rsidRPr="00DD1C88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deidad en sí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la divinidad en sí; o sea, de </w:t>
      </w:r>
      <w:r w:rsidRPr="00433BC1">
        <w:rPr>
          <w:rFonts w:ascii="Times New Roman" w:eastAsia="Times New Roman" w:hAnsi="Times New Roman" w:cs="Times New Roman"/>
          <w:b/>
          <w:color w:val="000000"/>
          <w:lang w:eastAsia="es-ES_tradnl"/>
        </w:rPr>
        <w:t>originar  a las otras dos hipóstasis de la Tríada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: el Hijo y el Espíritu Santo.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tres hipóstasis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se distinguen entre sí sólo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señal de reconocimiento de cada una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el Padre </w:t>
      </w:r>
      <w:r w:rsidRPr="00433BC1">
        <w:rPr>
          <w:rFonts w:ascii="Times New Roman" w:eastAsia="Times New Roman" w:hAnsi="Times New Roman" w:cs="Times New Roman"/>
          <w:b/>
          <w:color w:val="000000"/>
          <w:lang w:eastAsia="es-ES_tradnl"/>
        </w:rPr>
        <w:t>no es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generado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por tanto </w:t>
      </w:r>
      <w:r w:rsidRPr="00433BC1">
        <w:rPr>
          <w:rFonts w:ascii="Times New Roman" w:eastAsia="Times New Roman" w:hAnsi="Times New Roman" w:cs="Times New Roman"/>
          <w:b/>
          <w:color w:val="000000"/>
          <w:lang w:eastAsia="es-ES_tradnl"/>
        </w:rPr>
        <w:t>es causa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: posee la </w:t>
      </w:r>
      <w:r w:rsidRPr="007F019D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gnórisma, </w:t>
      </w:r>
      <w:r w:rsidRPr="007F019D">
        <w:rPr>
          <w:rFonts w:ascii="Times New Roman" w:eastAsia="Times New Roman" w:hAnsi="Times New Roman" w:cs="Times New Roman"/>
          <w:iCs/>
          <w:color w:val="000000"/>
          <w:lang w:eastAsia="es-ES_tradnl"/>
        </w:rPr>
        <w:t>la capacidad de causar la deidad;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Hijo es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generado,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no posee la </w:t>
      </w:r>
      <w:r w:rsidRPr="007F019D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gnórisma;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el Espíritu Santo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procede</w:t>
      </w:r>
      <w:r>
        <w:rPr>
          <w:rFonts w:ascii="Times New Roman" w:eastAsia="Times New Roman" w:hAnsi="Times New Roman" w:cs="Times New Roman"/>
          <w:b/>
          <w:color w:val="000000"/>
          <w:lang w:eastAsia="es-ES_tradnl"/>
        </w:rPr>
        <w:t>,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y tampoco posee la </w:t>
      </w:r>
      <w:r w:rsidRPr="007F019D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>gnórisma.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>Todas las propiedades divinas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distintas de éstas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tres señales de reconocimiento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son absolutamente comunes a las tres hipóstasis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o Personas Divinas.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tiene pleno éxito en demostrar, que la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errónea 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asignación de la </w:t>
      </w:r>
      <w:r w:rsidRPr="007F019D">
        <w:rPr>
          <w:rFonts w:ascii="Times New Roman" w:eastAsia="Times New Roman" w:hAnsi="Times New Roman" w:cs="Times New Roman"/>
          <w:i/>
          <w:iCs/>
          <w:color w:val="000000"/>
          <w:lang w:eastAsia="es-ES_tradnl"/>
        </w:rPr>
        <w:t xml:space="preserve">gnórisma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a dos hipóstasis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al Padre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y al Hijo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significa establecer una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jerarquía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entre las tres hipóstasis- porque el 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>Espíritu sería tercero respecto del Padre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En cambio, afirma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Palamás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</w:t>
      </w:r>
      <w:r w:rsidRPr="00DD1C88">
        <w:rPr>
          <w:rFonts w:ascii="Times New Roman" w:eastAsia="Times New Roman" w:hAnsi="Times New Roman" w:cs="Times New Roman"/>
          <w:color w:val="000000"/>
          <w:lang w:eastAsia="es-ES_tradnl"/>
        </w:rPr>
        <w:t>tanto el Hijo como el Espíritu</w:t>
      </w:r>
      <w:r w:rsidRPr="007F019D">
        <w:rPr>
          <w:rFonts w:ascii="Times New Roman" w:eastAsia="Times New Roman" w:hAnsi="Times New Roman" w:cs="Times New Roman"/>
          <w:b/>
          <w:color w:val="000000"/>
          <w:lang w:eastAsia="es-ES_tradnl"/>
        </w:rPr>
        <w:t xml:space="preserve"> son segundos respecto del Padre, porque ambos provienen directamente de Él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San Gregorio Palamás se muestra claro en cuanto a aquellos Padres de la Iglesia Latina- reconocidos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como santos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también por la Iglesia Ortodoxa- en los que tal vez se apoyaban  los teólogos católicos, como es el caso de San Agustín.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En un lugar de sus escritos dice que …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F23C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“cuando también </w:t>
      </w:r>
      <w:r w:rsidRPr="000F23C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hay algunos que nos dan motivo para creer que sostienen la doble Procedencia del Espíritu Santo</w:t>
      </w:r>
      <w:r w:rsidRPr="000F23C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, es necesario antes que nada </w:t>
      </w:r>
      <w:r w:rsidRPr="000F23C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hacer regresar</w:t>
      </w:r>
      <w:r w:rsidRPr="000F23C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 "todo aquello sobre lo que hay desacuerdo, a la </w:t>
      </w:r>
      <w:r w:rsidRPr="000F23C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misma manera que se entendía  la piedad religiosa</w:t>
      </w:r>
      <w:r w:rsidRPr="000F23C5">
        <w:rPr>
          <w:rFonts w:ascii="Times New Roman" w:eastAsia="Times New Roman" w:hAnsi="Times New Roman" w:cs="Times New Roman"/>
          <w:i/>
          <w:color w:val="000000"/>
          <w:lang w:eastAsia="es-ES_tradnl"/>
        </w:rPr>
        <w:t xml:space="preserve">"; en segundo lugar, si eso no fuese posible, se debe </w:t>
      </w:r>
      <w:r w:rsidRPr="000F23C5">
        <w:rPr>
          <w:rFonts w:ascii="Times New Roman" w:eastAsia="Times New Roman" w:hAnsi="Times New Roman" w:cs="Times New Roman"/>
          <w:b/>
          <w:i/>
          <w:color w:val="000000"/>
          <w:lang w:eastAsia="es-ES_tradnl"/>
        </w:rPr>
        <w:t>dejar caer sus afirmaciones "porque a ese respecto no podemos seguirles"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b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Una mirada objetiva permite apreciar el papel desempeñado por San Gregorio Palamás: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primer lugar - basándose en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lo revelado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 las Sagradas Escrituras y teniendo en cuenta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la enseñanza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los Padres de la Iglesia, es decir, de San Gregorio el Teólogo, de San Juan Crisóstomo, San Basilio el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G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rande, San Máximo el Confesor, San Atanasio de Alejandría, etc.-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argumenta en defensa de la Fe de la Iglesia expresada en el Credo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segundo lugar,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defiende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Tradición de la Iglesia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- manifestada en sus formas sacramentales, sus ritos litúrgicos y creencias piadosas- frente a las </w:t>
      </w:r>
      <w:r w:rsidRPr="00C06EA3">
        <w:rPr>
          <w:rFonts w:ascii="Times New Roman" w:eastAsia="Times New Roman" w:hAnsi="Times New Roman" w:cs="Times New Roman"/>
          <w:b/>
          <w:color w:val="000000"/>
          <w:lang w:eastAsia="es-ES_tradnl"/>
        </w:rPr>
        <w:t>innovaciónes latinas que la hacía peligrar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habida cuenta de las pretenciones papales de </w:t>
      </w:r>
      <w:r w:rsidRPr="00DD1C88">
        <w:rPr>
          <w:rFonts w:ascii="Times New Roman" w:eastAsia="Times New Roman" w:hAnsi="Times New Roman" w:cs="Times New Roman"/>
          <w:b/>
          <w:color w:val="000000"/>
          <w:lang w:eastAsia="es-ES_tradnl"/>
        </w:rPr>
        <w:t>supremacía sobre todas las Iglesias distintas de la de Roma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tercer lugar estas polémicas </w:t>
      </w:r>
      <w:r w:rsidRPr="00946F89">
        <w:rPr>
          <w:rFonts w:ascii="Times New Roman" w:eastAsia="Times New Roman" w:hAnsi="Times New Roman" w:cs="Times New Roman"/>
          <w:b/>
          <w:color w:val="000000"/>
          <w:lang w:eastAsia="es-ES_tradnl"/>
        </w:rPr>
        <w:t>no fueron meras discusiones académicas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; hubo intensidad inusitada, acusaciones ante el emperador, descalificación de parte del Patriarca. 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>La Iglesia se vio agrietada y se declar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ó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una guerra civil entre el bando latinizante y el ortodoxo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;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San Gregorio Palamás sufr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ió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encierro en la cárcel imperial, etc.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cuarto lugar, las polémicas no fueron breves: </w:t>
      </w:r>
      <w:r w:rsidRPr="006718FC">
        <w:rPr>
          <w:rFonts w:ascii="Times New Roman" w:eastAsia="Times New Roman" w:hAnsi="Times New Roman" w:cs="Times New Roman"/>
          <w:b/>
          <w:color w:val="000000"/>
          <w:lang w:eastAsia="es-ES_tradnl"/>
        </w:rPr>
        <w:t>duraron treinta años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en medio de convulsiones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e incluso del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secuestro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de Palamás 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por piratas turcos.  </w:t>
      </w: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stoy convencido que la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fortaleza espiritual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San Gregorio Palamás, forjada como monje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ermitaño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y como monje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en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comunuidad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fue reforzada por la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Gracia Divina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iluminándole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el Espíritu Santo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en sus escritos y en las defensas públicas de la Fe que le tocó realizar, delante del emperador, de legados papales, etc.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quinto lugar, su esfuerzo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fue recompensado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no sólo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porque todos los Concilios Ortodoxos celebrados para dirimir las posiciones en disputas,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apoyaron sus tesis condenando las contrarias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, sino porque la Teología Ortodoxa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se elevó a gran nivel en las explicaciones del Misterio Divino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>,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gracias a los </w:t>
      </w: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profundos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conceptos filosóficos y metafísicos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con que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sustentó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argumentaciones teológicas.</w:t>
      </w:r>
    </w:p>
    <w:p w:rsidR="00394ACB" w:rsidRPr="007F019D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las sucesivas kápsulas palamitas iremos desarrollando el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pensamiento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 de San Gregorio Palamás y su </w:t>
      </w:r>
      <w:r w:rsidRPr="000775D9">
        <w:rPr>
          <w:rFonts w:ascii="Times New Roman" w:eastAsia="Times New Roman" w:hAnsi="Times New Roman" w:cs="Times New Roman"/>
          <w:b/>
          <w:color w:val="000000"/>
          <w:lang w:eastAsia="es-ES_tradnl"/>
        </w:rPr>
        <w:t>modo de fundamentar la Fe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Conoceremos su doctrina de las </w:t>
      </w:r>
      <w:r w:rsidRPr="00A65AA6">
        <w:rPr>
          <w:rFonts w:ascii="Times New Roman" w:eastAsia="Times New Roman" w:hAnsi="Times New Roman" w:cs="Times New Roman"/>
          <w:b/>
          <w:color w:val="000000"/>
          <w:lang w:eastAsia="es-ES_tradnl"/>
        </w:rPr>
        <w:t>Energías Divinas Increadas y la Supraesencia Divina trascendente</w:t>
      </w:r>
      <w:r w:rsidRPr="007F019D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:rsidR="00394ACB" w:rsidRDefault="00394ACB" w:rsidP="00394ACB">
      <w:pPr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 xml:space="preserve">Que la Santísima Madre de Dios y siempre Virgen María interceda por todos nosotros ante su Hijo Nuestro Señor. </w:t>
      </w:r>
    </w:p>
    <w:p w:rsidR="00394ACB" w:rsidRPr="00394ACB" w:rsidRDefault="00394ACB" w:rsidP="00394ACB"/>
    <w:sectPr w:rsidR="00394ACB" w:rsidRPr="00394ACB" w:rsidSect="00EE0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CB"/>
    <w:rsid w:val="00394ACB"/>
    <w:rsid w:val="00E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D5856C31-87A3-B641-979D-DEFCC31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Farah Taré</dc:creator>
  <cp:keywords/>
  <dc:description/>
  <cp:lastModifiedBy/>
  <cp:revision>1</cp:revision>
  <dcterms:created xsi:type="dcterms:W3CDTF">2021-04-11T22:25:00Z</dcterms:created>
</cp:coreProperties>
</file>