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3F4" w:rsidRDefault="000153F4" w:rsidP="000153F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15   Valor y vanidad de la ciencia</w:t>
      </w:r>
    </w:p>
    <w:p w:rsidR="000153F4" w:rsidRDefault="000153F4" w:rsidP="000153F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:rsidR="000153F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En cápsulas anteriores habíamos dicho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San Gregorio Palamás había escrito los </w:t>
      </w:r>
      <w:r w:rsidRPr="00F263D3">
        <w:rPr>
          <w:rFonts w:ascii="Times New Roman" w:eastAsia="Times New Roman" w:hAnsi="Times New Roman" w:cs="Times New Roman"/>
          <w:b/>
          <w:color w:val="000000"/>
          <w:lang w:eastAsia="es-ES_tradnl"/>
        </w:rPr>
        <w:t>D</w:t>
      </w:r>
      <w:r w:rsidRPr="00F263D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iscursos demostrativos sobre la procesión del Espíritu Santo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fue la primera obra teológico filosófica dedicada a defender </w:t>
      </w:r>
      <w:r w:rsidRPr="00F263D3">
        <w:rPr>
          <w:rFonts w:ascii="Times New Roman" w:eastAsia="Times New Roman" w:hAnsi="Times New Roman" w:cs="Times New Roman"/>
          <w:b/>
          <w:color w:val="000000"/>
          <w:lang w:eastAsia="es-ES_tradnl"/>
        </w:rPr>
        <w:t>lo sostenido en el Credo de la Iglesia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el sentido que el Espíritu Santo </w:t>
      </w:r>
      <w:r w:rsidRPr="00F263D3">
        <w:rPr>
          <w:rFonts w:ascii="Times New Roman" w:eastAsia="Times New Roman" w:hAnsi="Times New Roman" w:cs="Times New Roman"/>
          <w:b/>
          <w:color w:val="000000"/>
          <w:lang w:eastAsia="es-ES_tradnl"/>
        </w:rPr>
        <w:t>sólo procede del Padre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153F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Palamás no volverá otra vez sobre esta problemática en sus escritos posteriores; los nuevos escritos estarán relacionados con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evolución que fue adquiriendo el debate teológico,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transcurso de los treinta años que duró su defensa de la fe ortodoxa, en medio de las intensas y agudas  polémicas que tuvieron lugar en medio de las convulsiones políticas del imperio Bizantino.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Decíamos también que Barlaam de Calabria había atacado a los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hesicastas,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monjes que practicaban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oración continua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alcanzar la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esikía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vale decir la tranquilidad o serenidad de quien reza.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Sobre este tema San Gregorio Palamás centrará sus escritos posteriores.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trata de nuevos escritos, coleccionados en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tres series de tres textos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: los 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Discursos sobre Los Santos hesicastas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 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usualmente llamado las 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Tríadas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porque fueron 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escritos en momentos sucesivos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las Tríadas afronta puntos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muy precisos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con un estilo bien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articulado y extendido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, a causa de las exigencias pastorales que debe asumir, puesto que Palamás escribe para responder a la ayuda solicitada por un monje que- detectando el peligro de las tesis de Barlaam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se consideraba capaz  de probar la validez de sus sospechas, por faltarle una adecuada preparación teológica.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santo comienza demostrando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falsedad de la suposición inicial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Barlaam sobre el saber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fuera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; profano o laico como diríamos hoy día.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expresión saber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fuera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deriva de San Pablo (1 Tim 3, 7), y se refiere a todos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los que no son parte de la Iglesia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que por tanto no utilizan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Revelación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el dato propio fundamental.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conocimiento puede ser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fuera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cuando no está subordinado a la exigencia de la fe. 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fuera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por una parte, toda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cultura clásica pagana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por otra,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ciencia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matemática, la astronómica, la geométrica- que fueron desarrolladas por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aldeos y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gipcios.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conocimiento se considera que 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está relacionado con la ascesis de los fieles; por lo  se trata  de un conocimiento que, por sí mismo, es  inútil para la salvación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modo de pensar se halla muy alejado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aquél que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Occidente, había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consentido a la escolástica estudiar la filosofía antigua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sobre todo la aristotélica, y utilizarla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para aclarar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complejos problemas teológicos.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conocía muy bien las enseñanzas de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filósofos antiguos, sobre todo 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Platón y Aristóteles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sin dejar de referirse  al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epicureísmo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al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estoicismo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sus escritos.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aunque conocedor de ese pensamiento griego antiguo, y que sin duda empleaba muy acertadamente, a nuestro santo poco le importa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filosofía en cuanto tal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lo que realmente le interesa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 salvaguardar la pureza de la tradición cristiana,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con este propósito escribe.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Precisamente por eso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contrapone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mensaje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uídate a ti mismo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San Basilio de Cesarea había tomado del Deuteronomio (15, 9), al lema délfico y socrático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onócete a ti mismo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¿Por qué lo contrapone?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Porque el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onócete a ti mismo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le parece que se halla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infectado por el politeísmo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estaba en la base de toda la filósofa antigua.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es que los antiguos filósofos paganos, aunque tuvieron éxito al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entender en abstracto el concepto de divinidad, permanecieron politeístas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el politeísmo no es sino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culto del demonio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 los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dioses falsos y mentirosos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no son sino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demonios.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cultura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fuera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 pesar de sus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méritos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su posible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utilidad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, está al servicio de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las criaturas,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y para la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adoración de demonios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en vez de al Creador.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tanto esa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cultura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fuera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inútil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 incluso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perjudicial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 búsqueda de la verdad,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 no es guiada por la Escritura y la tradición patrística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cambio,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si fuese cierta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tesis de Barlaam, según la cual los antiguos filósofos y científicos fueron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inspirados directamente por Dios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lo fueron los Profetas y los Apóstoles,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encarnación, muerte y resurrección de Cristo habría sido inútil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quien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habría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errado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elegir a sus apóstoles entre pescadores ignorantes en vez de entre personas instruidas y sabios.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Debido precisamente a esta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secularización de la inspiración Divina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que nuestro santo concluye que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última instancia,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 un ateo destructor de la tradición religiosa,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sobre la cual se cree también capaz de formular sus propias opiniones.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 embargo, en esta clara toma de posición de San Gregorio Palamás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hay una condena </w:t>
      </w:r>
      <w:r w:rsidRPr="002D7DC4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 xml:space="preserve">a priori 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hacia la cultura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cultura en sí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como el veneno de la serpiente: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peligroso,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pero útil para preparar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el antídoto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Escribe Palamás: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“Si te puede servir bien esta parte de la sabiduría profana- adecuadamente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escogida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- en esto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habrá nada malo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de hecho se convierte en un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instrumento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para un bello fin.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Pero ni siquiera esta sabiduría puede ser correctamente llamada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 regalo espiritual de Dios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; se trata de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algo natural y no enviada desde lo alto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Le importa subrayar a Palamás que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uso indiscriminado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cultura demuestra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vaciado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de la tradición cristiana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que, por el contrario, la cultura en sí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fundamental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cualquier persona que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quiera vivir cristianamente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obedeciendo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ey y a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G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racia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su posición sobre la cultura, no hay en Palamás ningún cerrado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moralismo medieval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sólo la conciencia de que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la cultura como tal, no coincide con el don del Espíritu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porque el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estudio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por sí mismo, nunca puede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reemplazar la obediencia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los mandamientos y a la Gracia.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Hacerlo creer a los fieles, es la mentira </w:t>
      </w:r>
      <w:r w:rsidRPr="002D7DC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diabólica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Barlaam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ciencias son utilísimas, mientras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se sostengan en una apertura al Misterio Divino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modo de </w:t>
      </w:r>
      <w:r w:rsidRPr="002D7DC4">
        <w:rPr>
          <w:rFonts w:ascii="Times New Roman" w:eastAsia="Times New Roman" w:hAnsi="Times New Roman" w:cs="Times New Roman"/>
          <w:b/>
          <w:color w:val="000000"/>
          <w:lang w:eastAsia="es-ES_tradnl"/>
        </w:rPr>
        <w:t>no sobrevalorar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 importancia. 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El primer texto de la Tríada fue dedicado entonces por San Gregorio Palamás a desmentir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las afirmaciones de Barlaam sobre la naturaleza espiritual de cualquier forma de conocimiento; en el segundo texto va a refutar las acusaciones contra el Hesicasmo.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Acerca de esto hablaremos en la próxima kápsula palamita, la número 16.</w:t>
      </w:r>
    </w:p>
    <w:p w:rsidR="000153F4" w:rsidRPr="002D7DC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153F4" w:rsidRDefault="000153F4" w:rsidP="000153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Que nuestros estudios jamás se desvíen del camino y la verdad, que es Nuestro Señor Jesucristo.</w:t>
      </w:r>
    </w:p>
    <w:p w:rsidR="000153F4" w:rsidRPr="000153F4" w:rsidRDefault="000153F4" w:rsidP="000153F4"/>
    <w:sectPr w:rsidR="000153F4" w:rsidRPr="000153F4" w:rsidSect="00C85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F4"/>
    <w:rsid w:val="000153F4"/>
    <w:rsid w:val="00C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99D816-159F-2042-ACEC-529E13EE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2021-06-05T03:22:00Z</dcterms:created>
</cp:coreProperties>
</file>