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9CB4E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0659692C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  <w:r w:rsidRPr="007535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KP 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 xml:space="preserve">   Tres distinciones acerca de la Hipóstasis</w:t>
      </w:r>
    </w:p>
    <w:p w14:paraId="25FAD985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</w:p>
    <w:p w14:paraId="23779810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Antes de entrar en el contenido de esta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kápsula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palamita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quisiera explicar algunos aspectos relativos a la </w:t>
      </w:r>
      <w:r w:rsidRPr="002758A1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deificación del hombre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3E1161FF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BE958B7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>No se trata de una ‘</w:t>
      </w:r>
      <w:proofErr w:type="spellStart"/>
      <w:r w:rsidRPr="002758A1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angelización</w:t>
      </w:r>
      <w:proofErr w:type="spellEnd"/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’ del hombre negando su realidad corporal, sino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la </w:t>
      </w:r>
      <w:r w:rsidRPr="002758A1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recepción de una perfección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 otorgada por Dios de modo energético, para que la deificación ocurra en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0E225E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propia realidad humana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01FD3F99" w14:textId="77777777" w:rsidR="00D821F7" w:rsidRPr="00B829B8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B7D7F43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No debe olvidarse  que es Cristo Resucitado, de naturalezas </w:t>
      </w:r>
      <w:r w:rsidRPr="000E225E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Divina y humana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quien ascendió a los cielos; </w:t>
      </w:r>
      <w:r w:rsidRPr="000E225E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no se despojó de la naturaleza humana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para volver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como antes de la Encarnación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48880D66" w14:textId="77777777" w:rsidR="00D821F7" w:rsidRPr="00B829B8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A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scendió como </w:t>
      </w:r>
      <w:r w:rsidRPr="000E225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Dios-Hombre  transfigurado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>, como la Hipóstasis coesencial y coeterna con el Padre y el Espíritu Santo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asumió la naturaleza humana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 la cual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0E225E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restableció en su semejanza con Dios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elevándola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incluso </w:t>
      </w:r>
      <w:r w:rsidRPr="000E225E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por sobre el estado adánico antes de la caída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2676EDBB" w14:textId="77777777" w:rsidR="00D821F7" w:rsidRPr="00B829B8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B8AD316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ello es que la deificación es del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ser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 humano </w:t>
      </w:r>
      <w:r w:rsidRPr="000E225E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integral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de </w:t>
      </w:r>
      <w:r w:rsidRPr="000E225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cuerpo y alma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57D0B6A7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>Dios-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H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ombre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t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>ransfigurado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señala un </w:t>
      </w:r>
      <w:r w:rsidRPr="000E225E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modelo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hacia el cual tender en nuestra deificación; es la </w:t>
      </w:r>
      <w:r w:rsidRPr="000E225E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persona completa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- en total humanidad de cuerpo y alma- </w:t>
      </w:r>
      <w:r w:rsidRPr="000E225E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la que vuelve</w:t>
      </w:r>
      <w:r w:rsidRPr="0056722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su 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naturaleza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creada </w:t>
      </w:r>
      <w:r w:rsidRPr="000E225E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antes de la caída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a seguir siendo </w:t>
      </w:r>
      <w:r w:rsidRPr="000E225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a imagen de Dios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pero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ahora 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con la </w:t>
      </w:r>
      <w:r w:rsidRPr="000E225E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semejanza</w:t>
      </w:r>
      <w:r w:rsidRPr="00B829B8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0E225E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restablecida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 incluso </w:t>
      </w:r>
      <w:r w:rsidRPr="000E225E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superada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7CFBFF54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A7F3179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Vayamos a San Gregorio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la Tercera Tríada.</w:t>
      </w:r>
    </w:p>
    <w:p w14:paraId="2C99E7D1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75F163E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primero de los textos que componen esta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T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ercera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Tríada 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se inicia con una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exposición directa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lo que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sabía del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comportamiento de </w:t>
      </w:r>
      <w:proofErr w:type="spellStart"/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Barlaam</w:t>
      </w:r>
      <w:proofErr w:type="spellEnd"/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en la corte papal de Aviñón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donde había sido enviado para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defender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concepción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ortodoxa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Procesión del Espíritu Santo, </w:t>
      </w:r>
      <w:r w:rsidRPr="000E225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que procede sólo del Padre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por el contrario,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Barlaam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había terminado por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aceptar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definitivamente las posiciones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latinas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, de que el Espíritu Santo procede del Padre y del Hijo.</w:t>
      </w:r>
    </w:p>
    <w:p w14:paraId="05E50FC9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F9B3B88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Sin embargo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el tono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los tres discursos de las Tríadas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es más teórico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menos vinculado a la polémica. </w:t>
      </w:r>
    </w:p>
    <w:p w14:paraId="41479C02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primer discurso está dedicado al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concepto de deificación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el segundo a </w:t>
      </w:r>
      <w:r w:rsidRPr="00BD629F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conf</w:t>
      </w:r>
      <w:r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r</w:t>
      </w:r>
      <w:r w:rsidRPr="00BD629F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ontar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las premisas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Barlaam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y el tercero a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refutar sus conclusiones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7338DD21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788241C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 interesante notar que al inicio del escrito sobre la deificación, nuestro santo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habla de sí mismo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de los motivos por los cuales, en la escritura, </w:t>
      </w:r>
      <w:proofErr w:type="spellStart"/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rehusa</w:t>
      </w:r>
      <w:proofErr w:type="spellEnd"/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cualquier refinamiento retórico,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preocupándose solamente del contenido. Escuchemos sus palabras:</w:t>
      </w:r>
    </w:p>
    <w:p w14:paraId="6CDE4061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558ACE5" w14:textId="1BD4933D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"No se da una </w:t>
      </w:r>
      <w:r w:rsidRPr="00BD629F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recompensa</w:t>
      </w:r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a </w:t>
      </w:r>
      <w:proofErr w:type="spellStart"/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>aque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é</w:t>
      </w:r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>los</w:t>
      </w:r>
      <w:proofErr w:type="spellEnd"/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que hacen </w:t>
      </w:r>
      <w:r w:rsidRPr="00BD629F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lo que deben hacer</w:t>
      </w:r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. </w:t>
      </w:r>
    </w:p>
    <w:p w14:paraId="55ED9725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Por tanto es un </w:t>
      </w:r>
      <w:r w:rsidRPr="000E225E">
        <w:rPr>
          <w:rFonts w:ascii="Times New Roman" w:eastAsia="Times New Roman" w:hAnsi="Times New Roman" w:cs="Times New Roman"/>
          <w:b/>
          <w:bCs/>
          <w:i/>
          <w:color w:val="000000"/>
          <w:lang w:eastAsia="es-ES_tradnl"/>
        </w:rPr>
        <w:t>deber inevitable</w:t>
      </w:r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lo que me induce necesariamente a escribir. </w:t>
      </w:r>
    </w:p>
    <w:p w14:paraId="16CC4AFF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</w:p>
    <w:p w14:paraId="3665E956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>Desde hace algún tiempo que no me preocupo más de la cultura, ni aspiro a los honores que de ella se derivan;  por ejemplo, nada me importa escribir con arte, de mostrar que el libro es un jardín de rosas, o una lira, o una trompeta; si un pasaje resuena como un eco dulce y penetrante, y si en otro hay una combinación bien rimada y variada en sus figuras, templando una sola afinada armonía a través de la variedad de las tensiones musicales del sonido, embelleciendo el discurso en todos los sentidos.</w:t>
      </w:r>
    </w:p>
    <w:p w14:paraId="7EB553C4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</w:p>
    <w:p w14:paraId="0D5B8A01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La gracia ática, la belleza y equilibrio de los términos, como flores, hacen que brille el césped de las palabras; pero que yo no pueda servirme de todo esto, a pesar de mi inclinación natural a hablar bien, </w:t>
      </w:r>
      <w:r w:rsidRPr="00BD629F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 una prueba manifiesta de que mi charla proviene de una necesidad y no del deseo de presumir</w:t>
      </w:r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>.</w:t>
      </w:r>
    </w:p>
    <w:p w14:paraId="0BCA0F53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</w:p>
    <w:p w14:paraId="61BA9727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Por el contrario, diría que </w:t>
      </w:r>
      <w:r w:rsidRPr="00BD629F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la principal belleza de las palabras es proporcionada por el entendimiento que ellas contienen, así como al alma se le otorga en la medida que ella mira a Dios y a la verdad</w:t>
      </w:r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>".</w:t>
      </w:r>
    </w:p>
    <w:p w14:paraId="4E458F41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D959384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Poco después dice que lo que lo indujo a escribir, fue el hecho que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detrás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insistencia de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Barlaam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afirmar que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todos los Actos de Dios</w:t>
      </w:r>
      <w:r>
        <w:rPr>
          <w:rFonts w:ascii="Times New Roman" w:eastAsia="Times New Roman" w:hAnsi="Times New Roman" w:cs="Times New Roman"/>
          <w:bCs/>
          <w:color w:val="000000"/>
          <w:lang w:eastAsia="es-ES_tradnl"/>
        </w:rPr>
        <w:t>,</w:t>
      </w:r>
      <w:r w:rsidRPr="000E225E">
        <w:rPr>
          <w:rFonts w:ascii="Times New Roman" w:eastAsia="Times New Roman" w:hAnsi="Times New Roman" w:cs="Times New Roman"/>
          <w:bCs/>
          <w:color w:val="000000"/>
          <w:lang w:eastAsia="es-ES_tradnl"/>
        </w:rPr>
        <w:t xml:space="preserve"> excepto su Esencia</w:t>
      </w:r>
      <w:r>
        <w:rPr>
          <w:rFonts w:ascii="Times New Roman" w:eastAsia="Times New Roman" w:hAnsi="Times New Roman" w:cs="Times New Roman"/>
          <w:bCs/>
          <w:color w:val="000000"/>
          <w:lang w:eastAsia="es-ES_tradnl"/>
        </w:rPr>
        <w:t>,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se crean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D821F7">
        <w:rPr>
          <w:rFonts w:ascii="Times New Roman" w:eastAsia="Times New Roman" w:hAnsi="Times New Roman" w:cs="Times New Roman"/>
          <w:bCs/>
          <w:color w:val="000000"/>
          <w:lang w:eastAsia="es-ES_tradnl"/>
        </w:rPr>
        <w:t>está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D821F7">
        <w:rPr>
          <w:rFonts w:ascii="Times New Roman" w:eastAsia="Times New Roman" w:hAnsi="Times New Roman" w:cs="Times New Roman"/>
          <w:bCs/>
          <w:color w:val="000000"/>
          <w:lang w:eastAsia="es-ES_tradnl"/>
        </w:rPr>
        <w:t>precisamente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el problema del </w:t>
      </w:r>
      <w:proofErr w:type="spellStart"/>
      <w:r w:rsidRPr="00BD629F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Filioque</w:t>
      </w:r>
      <w:proofErr w:type="spellEnd"/>
      <w:r w:rsidRPr="00BD629F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.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</w:p>
    <w:p w14:paraId="4E49262A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749F2B8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Afirma que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Barlaam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se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habría infiltrado a propósito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el ambiente de la Iglesia de Oriente, sólo para inducir a la mayoría a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aceptar la concepción latina.</w:t>
      </w:r>
    </w:p>
    <w:p w14:paraId="1AF17867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Escribe nuestro santo:  “</w:t>
      </w:r>
      <w:proofErr w:type="spellStart"/>
      <w:r w:rsidRPr="00BD629F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Barlaam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</w:t>
      </w:r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>uiere congraciarse en todos los sentidos con sus compañeros latinos, tratando de arrastrarnos, con engaño e incluso con la fuerza, hacia su modo de pensar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".</w:t>
      </w:r>
    </w:p>
    <w:p w14:paraId="3CA4CF0D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9A7F214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otras palabras, si los orientales hubieran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aceptado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los actos del Espíritu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son creados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como sostenía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Barlaam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aceptarían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también mucho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más fácilmente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el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Espíritu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procede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del Padre y del Hijo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5AFEA043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</w:p>
    <w:p w14:paraId="7557109D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Y si los Actos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ivinos fuesen creados- concluye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se debería también aceptar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que Dios está fuera del mundo y que nunca se manifiesta directamente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282554EB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B3774D7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Evidentemente,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un Dios como ése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sería completamente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inexistente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598A4228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818E182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el contrario,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Dios interviene directamente en el mundo con sus actos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de otro modo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no habría ninguna posibilidad de deificación de los fieles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5D8FFE0F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8126A60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Precisamente por esta razón el tema de la </w:t>
      </w:r>
      <w:r w:rsidRPr="00BD629F">
        <w:rPr>
          <w:rFonts w:ascii="Times New Roman" w:eastAsia="Times New Roman" w:hAnsi="Times New Roman" w:cs="Times New Roman"/>
          <w:b/>
          <w:color w:val="000000"/>
          <w:lang w:eastAsia="es-ES_tradnl"/>
        </w:rPr>
        <w:t>Luz Divina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continúa siendo central en su escrito, y dice que esta Luz es </w:t>
      </w:r>
      <w:proofErr w:type="spellStart"/>
      <w:r w:rsidRPr="00BD629F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enhipostática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7587D869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He aquí un término que debemos expl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i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car.</w:t>
      </w:r>
    </w:p>
    <w:p w14:paraId="778637F1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31D05DE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Decíamos en la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Kápsula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Palamita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anterior que San Gregorio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4971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distingue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en el significado del concepto de</w:t>
      </w:r>
      <w:r w:rsidRPr="00753541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Hipóstasis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tres realidades distintas que la teología latina ignora.</w:t>
      </w:r>
    </w:p>
    <w:p w14:paraId="3B771673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2A51CE8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Nuestro santo habla de </w:t>
      </w:r>
      <w:proofErr w:type="spellStart"/>
      <w:r w:rsidRPr="002D497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Authipóstasis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 </w:t>
      </w:r>
      <w:proofErr w:type="spellStart"/>
      <w:r w:rsidRPr="002D497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Enhipóstasis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</w:t>
      </w:r>
      <w:proofErr w:type="spellStart"/>
      <w:r w:rsidRPr="002D497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Anhipóstasis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>, conceptos que serán clave para entender la Luz Divina.</w:t>
      </w:r>
    </w:p>
    <w:p w14:paraId="7352D608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BE9E45F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Vamos paso a paso: el concepto filosófico griego de </w:t>
      </w:r>
      <w:proofErr w:type="spellStart"/>
      <w:r w:rsidRPr="00567229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h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y</w:t>
      </w:r>
      <w:r w:rsidRPr="00567229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o</w:t>
      </w:r>
      <w:r w:rsidRPr="00567229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stasis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significa el sustrato que constituye y sostiene a algo que se manifiesta; su traducción latina es </w:t>
      </w:r>
      <w:proofErr w:type="spellStart"/>
      <w:r w:rsidRPr="00567229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substantia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castellano decimos </w:t>
      </w:r>
      <w:r w:rsidRPr="00567229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substancia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- </w:t>
      </w:r>
      <w:r w:rsidRPr="00567229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sub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debajo- </w:t>
      </w:r>
      <w:proofErr w:type="spellStart"/>
      <w:r w:rsidRPr="00567229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stancia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>- lo que está.</w:t>
      </w:r>
    </w:p>
    <w:p w14:paraId="66EAE6E7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CA91651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Una hipóstasis o substancia es la cosa real, aquello que tiene existencia. </w:t>
      </w:r>
    </w:p>
    <w:p w14:paraId="5DC9F891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Así como la </w:t>
      </w:r>
      <w:r w:rsidRPr="00D821F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esencia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caracteriza la naturaleza de algo o de una especie, la </w:t>
      </w:r>
      <w:r w:rsidRPr="00D821F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substancia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el ejemplar unitario, real y concreto.</w:t>
      </w:r>
    </w:p>
    <w:p w14:paraId="2851B608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1C12533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ejemplo, la esencia de una manzana la caracteriza a ella y a todas las variedades de manzanas, y nos permite distinguirla de cualquier otra fruta; sin embargo lo que tenemos en nuestras manos </w:t>
      </w:r>
      <w:r w:rsidRPr="00D821F7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no es una esencia sino una manzana real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; pues bien, esta manzana es </w:t>
      </w:r>
      <w:r w:rsidRPr="00D821F7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una substancia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49BCFCA1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9A30B69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la teología occidental se empleó el término </w:t>
      </w:r>
      <w:r w:rsidRPr="00567229">
        <w:rPr>
          <w:rFonts w:ascii="Times New Roman" w:eastAsia="Times New Roman" w:hAnsi="Times New Roman" w:cs="Times New Roman"/>
          <w:b/>
          <w:color w:val="000000"/>
          <w:lang w:eastAsia="es-ES_tradnl"/>
        </w:rPr>
        <w:t>persona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dignificar el concepto de </w:t>
      </w:r>
      <w:r w:rsidRPr="00D821F7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individuo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debido a la trascendencia y dignidad de los seres humanos. </w:t>
      </w:r>
    </w:p>
    <w:p w14:paraId="723483ED" w14:textId="45214D66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cierto, los filósofos griegos de la antigüedad no disponían del concepto de persona; </w:t>
      </w:r>
      <w:r w:rsidRPr="00D821F7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esto es un aporte del cristianismo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63B61A53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C1CCC79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teología occidental consideró que el término griego </w:t>
      </w:r>
      <w:proofErr w:type="spellStart"/>
      <w:r w:rsidRPr="002959CE">
        <w:rPr>
          <w:rFonts w:ascii="Times New Roman" w:eastAsia="Times New Roman" w:hAnsi="Times New Roman" w:cs="Times New Roman"/>
          <w:b/>
          <w:bCs/>
          <w:i/>
          <w:color w:val="000000"/>
          <w:lang w:eastAsia="es-ES_tradnl"/>
        </w:rPr>
        <w:t>prosopón</w:t>
      </w:r>
      <w:proofErr w:type="spellEnd"/>
      <w:r w:rsidRPr="002959CE">
        <w:rPr>
          <w:rFonts w:ascii="Times New Roman" w:eastAsia="Times New Roman" w:hAnsi="Times New Roman" w:cs="Times New Roman"/>
          <w:iCs/>
          <w:color w:val="000000"/>
          <w:lang w:eastAsia="es-ES_tradnl"/>
        </w:rPr>
        <w:t>,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correspondía al de </w:t>
      </w:r>
      <w:r w:rsidRPr="002959CE">
        <w:rPr>
          <w:rFonts w:ascii="Times New Roman" w:eastAsia="Times New Roman" w:hAnsi="Times New Roman" w:cs="Times New Roman"/>
          <w:color w:val="000000"/>
          <w:lang w:eastAsia="es-ES_tradnl"/>
        </w:rPr>
        <w:t>persona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; esto era erróneo y la confusión provenía de que </w:t>
      </w:r>
      <w:proofErr w:type="spellStart"/>
      <w:r w:rsidRPr="00567229">
        <w:rPr>
          <w:rFonts w:ascii="Times New Roman" w:eastAsia="Times New Roman" w:hAnsi="Times New Roman" w:cs="Times New Roman"/>
          <w:i/>
          <w:color w:val="000000"/>
          <w:lang w:eastAsia="es-ES_tradnl"/>
        </w:rPr>
        <w:t>prosopón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era la máscara que utilizaban los actores del teatro griego para esconder su propio rostro y exhibir el del personaje que representaba.</w:t>
      </w:r>
    </w:p>
    <w:p w14:paraId="57DD347E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C33AD3F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teología oriental consideró que el término que correspondía a persona era el de </w:t>
      </w:r>
      <w:r w:rsidRPr="002959C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hipóstasis</w:t>
      </w:r>
      <w:r w:rsidRPr="00A24F62"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aunque también este término era aplicable a los entes- incluido el ser humano-  y no sólo a Dios.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 xml:space="preserve"> </w:t>
      </w:r>
    </w:p>
    <w:p w14:paraId="458A442B" w14:textId="02E6BE6F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P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ero p</w:t>
      </w:r>
      <w:r w:rsidRPr="002959CE">
        <w:rPr>
          <w:rFonts w:ascii="Times New Roman" w:eastAsia="Times New Roman" w:hAnsi="Times New Roman" w:cs="Times New Roman"/>
          <w:color w:val="000000"/>
          <w:lang w:eastAsia="es-ES_tradnl"/>
        </w:rPr>
        <w:t xml:space="preserve">ara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</w:t>
      </w:r>
      <w:r w:rsidRPr="00D821F7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mera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significación d</w:t>
      </w:r>
      <w:r w:rsidRPr="002959CE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</w:t>
      </w:r>
      <w:r w:rsidRPr="00D821F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sustrato</w:t>
      </w:r>
      <w:r w:rsidRPr="002959C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las cosas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959C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existía el término griego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hypokeimenon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decir, lo que está debajo como sostén o base; en latín se tradujo por </w:t>
      </w:r>
      <w:proofErr w:type="spellStart"/>
      <w:r w:rsidRPr="00742EF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subjectum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742EF2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sujeto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castellano.</w:t>
      </w:r>
    </w:p>
    <w:p w14:paraId="6466103E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A8A0692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Recuerden que en la </w:t>
      </w:r>
      <w:r w:rsidRPr="007845A3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Persona de Cristo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hay dos naturalezas, la Divina y la humana, y se habla de </w:t>
      </w:r>
      <w:r w:rsidRPr="007845A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Unión Hipostática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esas dos naturalezas en la </w:t>
      </w:r>
      <w:r w:rsidRPr="007845A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Persona o Hipóstasis de Cristo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5C2AE608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Y respecto de la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SantaTríada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se habla de las </w:t>
      </w:r>
      <w:r w:rsidRPr="007845A3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tres Hipóstasis Divinas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: el Padre, el Hijo y el Espíritu Santo. </w:t>
      </w:r>
    </w:p>
    <w:p w14:paraId="74C79652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7DECAB1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Entonces, alrededor del concepto de </w:t>
      </w:r>
      <w:r w:rsidRPr="007845A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hipóstasis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San Gregorio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7845A3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distingue tres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7845A3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características o realidades distintas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2912A85E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BD1DD3D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proofErr w:type="spellStart"/>
      <w:r w:rsidRPr="00742EF2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Authipostático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lo que </w:t>
      </w:r>
      <w:r w:rsidRPr="00742EF2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de por sí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constituye una hipóstasis.</w:t>
      </w:r>
    </w:p>
    <w:p w14:paraId="4D2144C0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057608E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proofErr w:type="spellStart"/>
      <w:r w:rsidRPr="00742EF2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Enhipostático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lo que por sí mismo </w:t>
      </w:r>
      <w:r w:rsidRPr="00742EF2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no constituye una hipóstasis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pero necesariamente  </w:t>
      </w:r>
      <w:r w:rsidRPr="00742EF2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forma parte de otra hipóstasis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031FE328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95A3884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proofErr w:type="spellStart"/>
      <w:r w:rsidRPr="00742EF2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Anhipostático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aquello que </w:t>
      </w:r>
      <w:r w:rsidRPr="00742EF2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no constituye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una hipóstasis </w:t>
      </w:r>
      <w:r w:rsidRPr="00742EF2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ni participa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la determinación de una hipóstasis.</w:t>
      </w:r>
    </w:p>
    <w:p w14:paraId="153708A2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B52EFD0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Estos términos derivan de las discusiones habidas en el </w:t>
      </w:r>
      <w:r w:rsidRPr="00D821F7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Concilio de Calcedonia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acerca de las dos naturalezas de Cristo; nunca fueron traducidos a términos latinos equivalentes. </w:t>
      </w:r>
    </w:p>
    <w:p w14:paraId="37C6EAE9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52EB94B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Luz Divina es </w:t>
      </w:r>
      <w:proofErr w:type="spellStart"/>
      <w:r w:rsidRPr="007845A3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enhipostática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porque </w:t>
      </w:r>
      <w:r w:rsidRPr="007845A3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no constituye una hipóstasis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es en realidad la </w:t>
      </w:r>
      <w:r w:rsidRPr="007845A3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manifestación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7845A3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del acto común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las tres Hipóstasis Divinas, que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sí 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son </w:t>
      </w:r>
      <w:proofErr w:type="spellStart"/>
      <w:r w:rsidRPr="007845A3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authipostáticas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4C876B7B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5DA14CA0" w14:textId="100579EF" w:rsidR="008976D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Luz Divina </w:t>
      </w:r>
      <w:r w:rsidRPr="007845A3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 xml:space="preserve">no es </w:t>
      </w:r>
      <w:proofErr w:type="spellStart"/>
      <w:r w:rsidRPr="007845A3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authipostática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llega a la existencia sólo </w:t>
      </w:r>
      <w:r w:rsidRPr="00BD629F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en la hipóstasis de otro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decir, de aquéllos que </w:t>
      </w:r>
      <w:r w:rsidRPr="007845A3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han llegado a ser dignos de recibirla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2C4C2CFE" w14:textId="3D237734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Podríamos decir que la Luz Divina </w:t>
      </w:r>
      <w:r w:rsidRPr="007845A3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no se irradia sin destinatario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0166DD46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Todos los seres de la creación, puesto que son entes, son hipóstasis creadas- </w:t>
      </w:r>
      <w:proofErr w:type="spellStart"/>
      <w:r w:rsidRPr="008976D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an</w:t>
      </w:r>
      <w:r w:rsidRPr="00BD629F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hipostáticas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-capaces de recibir los Actos Divinos, los cuales son </w:t>
      </w:r>
      <w:proofErr w:type="spellStart"/>
      <w:r w:rsidRPr="008976D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en</w:t>
      </w:r>
      <w:r w:rsidRPr="00BD629F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hipostáticos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emanan de la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Supraesencia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Divina,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es </w:t>
      </w:r>
      <w:proofErr w:type="spellStart"/>
      <w:r w:rsidRPr="008976D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au</w:t>
      </w:r>
      <w:r w:rsidRPr="00BD629F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thipostática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62438777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3B0D38C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Para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Barlaam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 la Esencia divina es increada- </w:t>
      </w:r>
      <w:proofErr w:type="spellStart"/>
      <w:r w:rsidRPr="008976D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au</w:t>
      </w:r>
      <w:r w:rsidRPr="007845A3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thipostática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pero considera que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los actos divinos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son </w:t>
      </w:r>
      <w:r w:rsidRPr="007845A3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algo creado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decir, </w:t>
      </w:r>
      <w:proofErr w:type="spellStart"/>
      <w:r w:rsidRPr="008976D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an</w:t>
      </w:r>
      <w:r w:rsidRPr="00BD629F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hipostáticos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41B075B4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9A05E0C" w14:textId="14A0D445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Para San Gregorio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</w:t>
      </w:r>
      <w:r w:rsidRPr="007845A3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 xml:space="preserve">Luz Divina </w:t>
      </w:r>
      <w:r w:rsidRPr="007845A3">
        <w:rPr>
          <w:rFonts w:ascii="Times New Roman" w:eastAsia="Times New Roman" w:hAnsi="Times New Roman" w:cs="Times New Roman"/>
          <w:color w:val="000000"/>
          <w:lang w:eastAsia="es-ES_tradnl"/>
        </w:rPr>
        <w:t xml:space="preserve">y los </w:t>
      </w:r>
      <w:r w:rsidRPr="007845A3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 xml:space="preserve">Actos Divinos 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son </w:t>
      </w:r>
      <w:proofErr w:type="spellStart"/>
      <w:r w:rsidRPr="008976D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en</w:t>
      </w:r>
      <w:r w:rsidRPr="007845A3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hipostáticos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no son </w:t>
      </w:r>
      <w:proofErr w:type="spellStart"/>
      <w:r w:rsidRPr="008976D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au</w:t>
      </w:r>
      <w:r w:rsidRPr="007845A3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thipostáticos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como la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Supraesencia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 ni </w:t>
      </w:r>
      <w:proofErr w:type="spellStart"/>
      <w:r w:rsidRPr="008976D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an</w:t>
      </w:r>
      <w:r w:rsidRPr="007845A3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hipostáticos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como sostenía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Barlaam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78FC0E64" w14:textId="77777777" w:rsidR="008976DF" w:rsidRPr="00BD629F" w:rsidRDefault="008976DF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0844BC2B" w14:textId="78C0FC6C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A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le será fácil demostrar que la tesis de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Barlaam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</w:t>
      </w:r>
      <w:r w:rsidRPr="007845A3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divide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dos partes </w:t>
      </w:r>
      <w:r w:rsidRPr="007845A3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incomunicables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lo increado y lo creado</w:t>
      </w:r>
      <w:r w:rsidR="008976DF"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7845A3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 xml:space="preserve">al negar lo </w:t>
      </w:r>
      <w:proofErr w:type="spellStart"/>
      <w:r w:rsidRPr="007845A3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enhipostático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</w:t>
      </w:r>
      <w:r w:rsidRPr="008976DF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contradictoria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sí misma, porque un Dios que no actúa no tendría necesidad alguna de producir nada hipostáticamente, de producir ningún ente; y porque actos creados- </w:t>
      </w:r>
      <w:proofErr w:type="spellStart"/>
      <w:r w:rsidRPr="008976DF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an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hipostáticos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y en consecuencia propiedades </w:t>
      </w:r>
      <w:proofErr w:type="spellStart"/>
      <w:r w:rsidRPr="008976DF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an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hipostática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serían actos y propiedades simplemente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inexistentes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4FF36DE0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8CB0351" w14:textId="081BC156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cambio, dice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la Luz Divina como actividad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se manifiesta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de manera necesaria, </w:t>
      </w:r>
      <w:proofErr w:type="spellStart"/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enhipostáticamente</w:t>
      </w:r>
      <w:proofErr w:type="spellEnd"/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 xml:space="preserve"> en otros entes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: a partir de las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Hipóstasis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oesenciales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ivinas, de las cuales la Luz Divina es un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acto común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="008976DF">
        <w:rPr>
          <w:rFonts w:ascii="Times New Roman" w:eastAsia="Times New Roman" w:hAnsi="Times New Roman" w:cs="Times New Roman"/>
          <w:color w:val="000000"/>
          <w:lang w:eastAsia="es-ES_tradnl"/>
        </w:rPr>
        <w:t>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sta </w:t>
      </w:r>
      <w:r w:rsidR="008976DF">
        <w:rPr>
          <w:rFonts w:ascii="Times New Roman" w:eastAsia="Times New Roman" w:hAnsi="Times New Roman" w:cs="Times New Roman"/>
          <w:color w:val="000000"/>
          <w:lang w:eastAsia="es-ES_tradnl"/>
        </w:rPr>
        <w:t xml:space="preserve">Luz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se manifiesta respecto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cada ente racional, ángel u hombre.</w:t>
      </w:r>
    </w:p>
    <w:p w14:paraId="2F4B0535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C13805E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Después de todo, los actos divinos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se manifiestan de muchas maneras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también para los seres no dotados de razón, porque en realidad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cada ente descansa en un acto supra esencial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ya que la Luz Divina es acto o </w:t>
      </w:r>
      <w:r w:rsidRPr="00296A4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energía común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las tres Hipóstasis Divinas y se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manifiesta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como la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iluminación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se produce sobre los seres racionales, además de manifestarse como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la energía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cada ente creado.</w:t>
      </w:r>
    </w:p>
    <w:p w14:paraId="4330863E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79AC82C" w14:textId="79C83F6F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respuesta de </w:t>
      </w:r>
      <w:r w:rsidR="008976DF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</w:t>
      </w:r>
      <w:proofErr w:type="spellStart"/>
      <w:r w:rsidR="008976DF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 w:rsidR="008976D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Barlaam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se convirtió en una exposición que interpretó los textos fundamentales de la </w:t>
      </w:r>
      <w:r w:rsidRPr="008702D7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tradición ortodoxa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decir, los escritos de los santos  </w:t>
      </w:r>
      <w:r w:rsidRPr="008976DF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 xml:space="preserve">Atanasio de Alejandría, Basilio de </w:t>
      </w:r>
      <w:proofErr w:type="spellStart"/>
      <w:r w:rsidRPr="008976DF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Cesarea</w:t>
      </w:r>
      <w:proofErr w:type="spellEnd"/>
      <w:r w:rsidRPr="008976DF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 xml:space="preserve">, Gregorio </w:t>
      </w:r>
      <w:proofErr w:type="spellStart"/>
      <w:r w:rsidRPr="008976DF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Nacianzeno</w:t>
      </w:r>
      <w:proofErr w:type="spellEnd"/>
      <w:r w:rsidRPr="008976DF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, Gregorio de Niza, Máximo el Confesor y de Dionisio el Areopagita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47FE1D0C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AAD1FC3" w14:textId="3F1682BD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Para finalizar esta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Kápsula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Palamita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deseamos mencionar que este primer texto </w:t>
      </w:r>
      <w:r w:rsidR="008976DF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la Triada, 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reviste cierta importancia filosófica respecto de la relación que existe entre los </w:t>
      </w:r>
      <w:r w:rsidRPr="008702D7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 xml:space="preserve">actos 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y sus </w:t>
      </w:r>
      <w:r w:rsidRPr="008702D7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significantes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5EA863D7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D0B0D70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la filosofía occidental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par</w:t>
      </w:r>
      <w:r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e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ce no aceptarse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existe una relación entre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un acto o actividad y su significante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o palabra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que lo nombra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análogo a que en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Barlaam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no existe ninguna relación entre lo increado y lo creado.</w:t>
      </w:r>
    </w:p>
    <w:p w14:paraId="2C0F75D4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En la teología occidental tendría influencia cierto ‘</w:t>
      </w:r>
      <w:r w:rsidRPr="00296A44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nominalismo’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no reconoce la realidad de la participación del Cosmos y del hombre en la Energía Divina Increada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68280E78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3C0043B" w14:textId="77777777" w:rsidR="00D821F7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Si no se es capaz de ver o aceptar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que hay alguna relación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entre un acto y su significante, no es de extrañar que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Descartes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vea un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abismo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entre la </w:t>
      </w:r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res </w:t>
      </w:r>
      <w:proofErr w:type="spellStart"/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>cogitans</w:t>
      </w:r>
      <w:proofErr w:type="spellEnd"/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BD629F">
        <w:rPr>
          <w:rFonts w:ascii="Times New Roman" w:eastAsia="Times New Roman" w:hAnsi="Times New Roman" w:cs="Times New Roman"/>
          <w:iCs/>
          <w:color w:val="000000"/>
          <w:lang w:eastAsia="es-ES_tradnl"/>
        </w:rPr>
        <w:t>o substancia pensante</w:t>
      </w:r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la </w:t>
      </w:r>
      <w:r w:rsidRPr="00BD629F">
        <w:rPr>
          <w:rFonts w:ascii="Times New Roman" w:eastAsia="Times New Roman" w:hAnsi="Times New Roman" w:cs="Times New Roman"/>
          <w:i/>
          <w:color w:val="000000"/>
          <w:lang w:eastAsia="es-ES_tradnl"/>
        </w:rPr>
        <w:t>substancia extensa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o que el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Idealismo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Filosófico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considere que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sólo se conoce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objeto mental como </w:t>
      </w:r>
      <w:r w:rsidRPr="00F97D69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representación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lo real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y no lo real mismo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o que la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Crítica kantiana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considere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sólo los fenómenos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como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lo 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dado al conocimiento y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 xml:space="preserve">no el </w:t>
      </w:r>
      <w:proofErr w:type="spellStart"/>
      <w:r w:rsidRPr="00296A44">
        <w:rPr>
          <w:rFonts w:ascii="Times New Roman" w:eastAsia="Times New Roman" w:hAnsi="Times New Roman" w:cs="Times New Roman"/>
          <w:b/>
          <w:bCs/>
          <w:i/>
          <w:color w:val="000000"/>
          <w:lang w:eastAsia="es-ES_tradnl"/>
        </w:rPr>
        <w:t>noumeno</w:t>
      </w:r>
      <w:proofErr w:type="spellEnd"/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 xml:space="preserve"> o cosa en sí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3B8528BD" w14:textId="77777777" w:rsidR="00462FB7" w:rsidRDefault="00462FB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03143D6" w14:textId="446D98A1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Y por supuesto, que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Barlaam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 xml:space="preserve">no halle relación alguna entre lo creado y lo </w:t>
      </w:r>
      <w:r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I</w:t>
      </w:r>
      <w:r w:rsidRPr="00296A44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ncreado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3D043FE2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713A474" w14:textId="77777777" w:rsidR="00D821F7" w:rsidRPr="00BD629F" w:rsidRDefault="00D821F7" w:rsidP="00D821F7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Algunas de e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stas consideraciones 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las 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continuaremos trat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ando</w:t>
      </w:r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la próxima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Kápsula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proofErr w:type="spellStart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Palamita</w:t>
      </w:r>
      <w:proofErr w:type="spellEnd"/>
      <w:r w:rsidRPr="00BD629F">
        <w:rPr>
          <w:rFonts w:ascii="Times New Roman" w:eastAsia="Times New Roman" w:hAnsi="Times New Roman" w:cs="Times New Roman"/>
          <w:color w:val="000000"/>
          <w:lang w:eastAsia="es-ES_tradnl"/>
        </w:rPr>
        <w:t>, la número 22.</w:t>
      </w:r>
    </w:p>
    <w:p w14:paraId="7798F0CC" w14:textId="77777777" w:rsidR="00D821F7" w:rsidRDefault="00D821F7" w:rsidP="00D821F7">
      <w:pPr>
        <w:jc w:val="both"/>
        <w:rPr>
          <w:rFonts w:eastAsia="Times New Roman" w:cs="Times New Roman"/>
          <w:color w:val="000000"/>
          <w:lang w:eastAsia="es-ES_tradnl"/>
        </w:rPr>
      </w:pPr>
    </w:p>
    <w:p w14:paraId="46776E7F" w14:textId="77777777" w:rsidR="006B37C4" w:rsidRDefault="006B37C4"/>
    <w:sectPr w:rsidR="006B37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F7"/>
    <w:rsid w:val="00462FB7"/>
    <w:rsid w:val="006B37C4"/>
    <w:rsid w:val="008976DF"/>
    <w:rsid w:val="00D8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F9E308"/>
  <w15:chartTrackingRefBased/>
  <w15:docId w15:val="{CD58D5F2-8236-AD49-A8B3-8DD68048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1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1729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Farah Taré</dc:creator>
  <cp:keywords/>
  <dc:description/>
  <cp:lastModifiedBy/>
  <cp:revision>1</cp:revision>
  <dcterms:created xsi:type="dcterms:W3CDTF">2021-08-16T14:38:00Z</dcterms:created>
</cp:coreProperties>
</file>